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D0E22B5" w:rsidR="004E7CC2" w:rsidRPr="00484306" w:rsidRDefault="00F435A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13F259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B4DB0">
        <w:rPr>
          <w:rFonts w:cs="Arial"/>
          <w:b/>
          <w:color w:val="0083A9" w:themeColor="accent1"/>
          <w:sz w:val="28"/>
          <w:szCs w:val="28"/>
        </w:rPr>
        <w:t>May 18</w:t>
      </w:r>
      <w:r w:rsidR="00F435AB">
        <w:rPr>
          <w:rFonts w:cs="Arial"/>
          <w:b/>
          <w:color w:val="0083A9" w:themeColor="accent1"/>
          <w:sz w:val="28"/>
          <w:szCs w:val="28"/>
        </w:rPr>
        <w:t>, 202</w:t>
      </w:r>
      <w:r w:rsidR="00307E8F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3EA04B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07E8F">
        <w:rPr>
          <w:rFonts w:cs="Arial"/>
          <w:b/>
          <w:color w:val="0083A9" w:themeColor="accent1"/>
          <w:sz w:val="28"/>
          <w:szCs w:val="28"/>
        </w:rPr>
        <w:t>4</w:t>
      </w:r>
      <w:r w:rsidR="00F435AB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115EB1D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435AB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05DA21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07E8F">
        <w:rPr>
          <w:rFonts w:cs="Arial"/>
          <w:color w:val="0083A9" w:themeColor="accent1"/>
          <w:sz w:val="24"/>
          <w:szCs w:val="24"/>
        </w:rPr>
        <w:t>4</w:t>
      </w:r>
      <w:r w:rsidR="00F435AB">
        <w:rPr>
          <w:rFonts w:cs="Arial"/>
          <w:color w:val="0083A9" w:themeColor="accent1"/>
          <w:sz w:val="24"/>
          <w:szCs w:val="24"/>
        </w:rPr>
        <w:t xml:space="preserve">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4C7B2B" w:rsidRPr="00637210" w14:paraId="0C956865" w14:textId="77777777" w:rsidTr="004C3A7F">
        <w:tc>
          <w:tcPr>
            <w:tcW w:w="3595" w:type="dxa"/>
            <w:shd w:val="clear" w:color="auto" w:fill="D99594"/>
            <w:vAlign w:val="center"/>
          </w:tcPr>
          <w:p w14:paraId="3181FE09" w14:textId="77777777" w:rsidR="004C7B2B" w:rsidRPr="00637210" w:rsidRDefault="004C7B2B" w:rsidP="004C3A7F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62FB5BF6" w14:textId="77777777" w:rsidR="004C7B2B" w:rsidRPr="00637210" w:rsidRDefault="004C7B2B" w:rsidP="004C3A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6003CB26" w14:textId="77777777" w:rsidR="004C7B2B" w:rsidRPr="00637210" w:rsidRDefault="004C7B2B" w:rsidP="004C3A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7B2B" w:rsidRPr="00637210" w14:paraId="5DCC9FE5" w14:textId="77777777" w:rsidTr="004C3A7F">
        <w:tc>
          <w:tcPr>
            <w:tcW w:w="3595" w:type="dxa"/>
          </w:tcPr>
          <w:p w14:paraId="5AD29A45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bookmarkStart w:id="1" w:name="_Hlk121121399"/>
            <w:r w:rsidRPr="00637210">
              <w:rPr>
                <w:rFonts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5C753004" w14:textId="77777777" w:rsidR="004C7B2B" w:rsidRPr="004E5DA7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Lincoln Woods</w:t>
            </w:r>
          </w:p>
        </w:tc>
        <w:tc>
          <w:tcPr>
            <w:tcW w:w="2695" w:type="dxa"/>
          </w:tcPr>
          <w:p w14:paraId="16BFF953" w14:textId="241583CF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bookmarkEnd w:id="1"/>
      <w:tr w:rsidR="004C7B2B" w:rsidRPr="00637210" w14:paraId="05574BF0" w14:textId="77777777" w:rsidTr="004C3A7F">
        <w:tc>
          <w:tcPr>
            <w:tcW w:w="3595" w:type="dxa"/>
          </w:tcPr>
          <w:p w14:paraId="0E1EFD9E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5F45FAD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37210">
              <w:rPr>
                <w:rFonts w:cs="Arial"/>
                <w:b/>
                <w:sz w:val="24"/>
                <w:szCs w:val="24"/>
              </w:rPr>
              <w:t>Charyl</w:t>
            </w:r>
            <w:proofErr w:type="spellEnd"/>
            <w:r w:rsidRPr="00637210">
              <w:rPr>
                <w:rFonts w:cs="Arial"/>
                <w:b/>
                <w:sz w:val="24"/>
                <w:szCs w:val="24"/>
              </w:rPr>
              <w:t xml:space="preserve"> Chatman</w:t>
            </w:r>
          </w:p>
        </w:tc>
        <w:tc>
          <w:tcPr>
            <w:tcW w:w="2695" w:type="dxa"/>
          </w:tcPr>
          <w:p w14:paraId="1B07626A" w14:textId="4C7C0ABB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C7B2B" w:rsidRPr="00637210" w14:paraId="56AAB788" w14:textId="77777777" w:rsidTr="004C3A7F">
        <w:tc>
          <w:tcPr>
            <w:tcW w:w="3595" w:type="dxa"/>
          </w:tcPr>
          <w:p w14:paraId="0108D7FC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B528EF3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942E728" w14:textId="4DB4739C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C7B2B" w:rsidRPr="00637210" w14:paraId="0276FBD4" w14:textId="77777777" w:rsidTr="004C3A7F">
        <w:tc>
          <w:tcPr>
            <w:tcW w:w="3595" w:type="dxa"/>
          </w:tcPr>
          <w:p w14:paraId="6E4FB99D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390BABE" w14:textId="77777777" w:rsidR="004C7B2B" w:rsidRPr="00637210" w:rsidRDefault="004C7B2B" w:rsidP="004C3A7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37210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695" w:type="dxa"/>
          </w:tcPr>
          <w:p w14:paraId="6258C47E" w14:textId="774FD0FC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4C7B2B" w:rsidRPr="00637210" w14:paraId="33D1B251" w14:textId="77777777" w:rsidTr="004C3A7F">
        <w:tc>
          <w:tcPr>
            <w:tcW w:w="3595" w:type="dxa"/>
          </w:tcPr>
          <w:p w14:paraId="29A7B6A1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2160453" w14:textId="77777777" w:rsidR="004C7B2B" w:rsidRPr="004E5DA7" w:rsidRDefault="004C7B2B" w:rsidP="004C3A7F">
            <w:pPr>
              <w:rPr>
                <w:b/>
                <w:bCs/>
                <w:sz w:val="24"/>
                <w:szCs w:val="24"/>
              </w:rPr>
            </w:pPr>
            <w:r w:rsidRPr="004E5DA7">
              <w:rPr>
                <w:b/>
                <w:bCs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41B0B9B8" w14:textId="0A673ECB" w:rsidR="004C7B2B" w:rsidRPr="00637210" w:rsidRDefault="00BA65DC" w:rsidP="004C3A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4C7B2B" w:rsidRPr="00637210" w14:paraId="7B617BA2" w14:textId="77777777" w:rsidTr="004C3A7F">
        <w:tc>
          <w:tcPr>
            <w:tcW w:w="3595" w:type="dxa"/>
          </w:tcPr>
          <w:p w14:paraId="0EB2AB8A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6B8600" w14:textId="77777777" w:rsidR="004C7B2B" w:rsidRPr="00637210" w:rsidRDefault="004C7B2B" w:rsidP="004C3A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7210">
              <w:rPr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7300A908" w14:textId="1EC4130C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C7B2B" w:rsidRPr="00637210" w14:paraId="6B87CB6E" w14:textId="77777777" w:rsidTr="004C3A7F">
        <w:tc>
          <w:tcPr>
            <w:tcW w:w="3595" w:type="dxa"/>
          </w:tcPr>
          <w:p w14:paraId="65D0ED0F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1B23585B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360150DC" w14:textId="1BB48459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4C7B2B" w:rsidRPr="00637210" w14:paraId="40BE6016" w14:textId="77777777" w:rsidTr="004C3A7F">
        <w:tc>
          <w:tcPr>
            <w:tcW w:w="3595" w:type="dxa"/>
          </w:tcPr>
          <w:p w14:paraId="53942E0D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6B7828F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9189FFB" w14:textId="62B2EB5E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4C7B2B" w:rsidRPr="00637210" w14:paraId="0331C741" w14:textId="77777777" w:rsidTr="004C3A7F">
        <w:tc>
          <w:tcPr>
            <w:tcW w:w="3595" w:type="dxa"/>
          </w:tcPr>
          <w:p w14:paraId="6279083A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583D89E9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Selena Florence</w:t>
            </w:r>
          </w:p>
        </w:tc>
        <w:tc>
          <w:tcPr>
            <w:tcW w:w="2695" w:type="dxa"/>
          </w:tcPr>
          <w:p w14:paraId="4BE09E9D" w14:textId="055C5237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4C7B2B" w:rsidRPr="00637210" w14:paraId="339278B8" w14:textId="77777777" w:rsidTr="004C3A7F">
        <w:tc>
          <w:tcPr>
            <w:tcW w:w="3595" w:type="dxa"/>
          </w:tcPr>
          <w:p w14:paraId="27B5B067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003D2435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695" w:type="dxa"/>
          </w:tcPr>
          <w:p w14:paraId="44A2C5FE" w14:textId="631B71FF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C7B2B" w:rsidRPr="00637210" w14:paraId="79B4B77E" w14:textId="77777777" w:rsidTr="004C3A7F">
        <w:tc>
          <w:tcPr>
            <w:tcW w:w="3595" w:type="dxa"/>
          </w:tcPr>
          <w:p w14:paraId="152DEBBC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1DB94A50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6864AFAF" w14:textId="2EF13E25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C7B2B" w:rsidRPr="00637210" w14:paraId="61D17526" w14:textId="77777777" w:rsidTr="004C3A7F">
        <w:tc>
          <w:tcPr>
            <w:tcW w:w="3595" w:type="dxa"/>
          </w:tcPr>
          <w:p w14:paraId="24F064B2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3553C753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 xml:space="preserve">Eshe’ Collins </w:t>
            </w:r>
          </w:p>
        </w:tc>
        <w:tc>
          <w:tcPr>
            <w:tcW w:w="2695" w:type="dxa"/>
          </w:tcPr>
          <w:p w14:paraId="6A1279A4" w14:textId="471B6241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4C7B2B" w:rsidRPr="00637210" w14:paraId="3ED10774" w14:textId="77777777" w:rsidTr="004C3A7F">
        <w:tc>
          <w:tcPr>
            <w:tcW w:w="3595" w:type="dxa"/>
          </w:tcPr>
          <w:p w14:paraId="3B881436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6E7C3A8C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2EDF1262" w14:textId="77FF087E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C7B2B" w:rsidRPr="00637210" w14:paraId="21F3E9C9" w14:textId="77777777" w:rsidTr="004C3A7F">
        <w:tc>
          <w:tcPr>
            <w:tcW w:w="3595" w:type="dxa"/>
          </w:tcPr>
          <w:p w14:paraId="7417BC69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4DA40F17" w14:textId="77777777" w:rsidR="004C7B2B" w:rsidRPr="004E5DA7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Jordan Best</w:t>
            </w:r>
          </w:p>
        </w:tc>
        <w:tc>
          <w:tcPr>
            <w:tcW w:w="2695" w:type="dxa"/>
          </w:tcPr>
          <w:p w14:paraId="29E3C471" w14:textId="77E9EA9A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C7B2B" w:rsidRPr="00637210" w14:paraId="578EF9BE" w14:textId="77777777" w:rsidTr="004C3A7F">
        <w:tc>
          <w:tcPr>
            <w:tcW w:w="3595" w:type="dxa"/>
          </w:tcPr>
          <w:p w14:paraId="255C897B" w14:textId="77777777" w:rsidR="004C7B2B" w:rsidRPr="00637210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6A12F5C5" w14:textId="77777777" w:rsidR="004C7B2B" w:rsidRPr="004E5DA7" w:rsidRDefault="004C7B2B" w:rsidP="004C3A7F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Joshua Gray</w:t>
            </w:r>
          </w:p>
        </w:tc>
        <w:tc>
          <w:tcPr>
            <w:tcW w:w="2695" w:type="dxa"/>
          </w:tcPr>
          <w:p w14:paraId="746B6858" w14:textId="63DA1BFD" w:rsidR="004C7B2B" w:rsidRPr="00637210" w:rsidRDefault="00BA65DC" w:rsidP="004C3A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bookmarkEnd w:id="0"/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someone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3AB2AC9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43EB83C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8B9870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A65DC">
        <w:rPr>
          <w:rFonts w:cs="Arial"/>
          <w:color w:val="0083A9" w:themeColor="accent1"/>
          <w:sz w:val="24"/>
          <w:szCs w:val="24"/>
        </w:rPr>
        <w:t>Patricia Horton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A65DC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78B2A64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bookmarkStart w:id="2" w:name="_Hlk135224743"/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>All</w:t>
      </w:r>
    </w:p>
    <w:p w14:paraId="57FFA089" w14:textId="69DC966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>None</w:t>
      </w:r>
    </w:p>
    <w:p w14:paraId="0BC56146" w14:textId="4643F9F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 xml:space="preserve">None </w:t>
      </w:r>
    </w:p>
    <w:p w14:paraId="188EEB54" w14:textId="7B432BB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bookmarkEnd w:id="2"/>
    <w:p w14:paraId="152E8588" w14:textId="77777777" w:rsidR="006B4DB0" w:rsidRPr="006B4DB0" w:rsidRDefault="006B4DB0" w:rsidP="006B4DB0">
      <w:pPr>
        <w:pStyle w:val="ListParagraph"/>
        <w:ind w:left="1350"/>
        <w:rPr>
          <w:rFonts w:cs="Arial"/>
          <w:sz w:val="24"/>
          <w:szCs w:val="24"/>
        </w:rPr>
      </w:pPr>
    </w:p>
    <w:p w14:paraId="179DEB03" w14:textId="36B24E50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bookmarkStart w:id="3" w:name="_Hlk135319282"/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BA65DC">
        <w:rPr>
          <w:rFonts w:cs="Arial"/>
          <w:i/>
          <w:sz w:val="24"/>
          <w:szCs w:val="24"/>
        </w:rPr>
        <w:t xml:space="preserve">No amendments </w:t>
      </w:r>
    </w:p>
    <w:p w14:paraId="40FD1DA5" w14:textId="59C44CE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A65DC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 w:rsidR="00BA65DC">
        <w:rPr>
          <w:rFonts w:cs="Arial"/>
          <w:color w:val="0083A9" w:themeColor="accent1"/>
          <w:sz w:val="24"/>
          <w:szCs w:val="24"/>
        </w:rPr>
        <w:t>Charyl</w:t>
      </w:r>
      <w:proofErr w:type="spellEnd"/>
      <w:r w:rsidR="00BA65DC">
        <w:rPr>
          <w:rFonts w:cs="Arial"/>
          <w:color w:val="0083A9" w:themeColor="accent1"/>
          <w:sz w:val="24"/>
          <w:szCs w:val="24"/>
        </w:rPr>
        <w:t xml:space="preserve"> Chatman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bookmarkEnd w:id="3"/>
    <w:p w14:paraId="49671284" w14:textId="4B7BAEE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>All</w:t>
      </w:r>
    </w:p>
    <w:p w14:paraId="123E280D" w14:textId="7CC5C49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</w:t>
      </w:r>
      <w:r w:rsidR="00BA65DC">
        <w:rPr>
          <w:rFonts w:cs="Arial"/>
          <w:color w:val="D47B22" w:themeColor="accent2"/>
          <w:sz w:val="24"/>
          <w:szCs w:val="24"/>
        </w:rPr>
        <w:t xml:space="preserve">; </w:t>
      </w:r>
      <w:r w:rsidR="00BA65DC" w:rsidRPr="00FD36F9">
        <w:rPr>
          <w:rFonts w:cs="Arial"/>
          <w:color w:val="0083A9" w:themeColor="accent1"/>
          <w:sz w:val="24"/>
          <w:szCs w:val="24"/>
        </w:rPr>
        <w:t xml:space="preserve">None </w:t>
      </w:r>
    </w:p>
    <w:p w14:paraId="759322E2" w14:textId="5EA96A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 xml:space="preserve">None </w:t>
      </w:r>
    </w:p>
    <w:p w14:paraId="662BD694" w14:textId="292BC2E7" w:rsidR="006B4DB0" w:rsidRDefault="00484306" w:rsidP="006B4DB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EE0D5AA" w14:textId="77777777" w:rsidR="00BA65DC" w:rsidRDefault="00BA65DC" w:rsidP="006B4DB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9827054" w14:textId="12D8F77A" w:rsidR="00BA65DC" w:rsidRDefault="006B4DB0" w:rsidP="00BA65D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BA65DC">
        <w:rPr>
          <w:rFonts w:cs="Arial"/>
          <w:sz w:val="24"/>
          <w:szCs w:val="24"/>
        </w:rPr>
        <w:t>Approval of 2023-24 Meeting Dates</w:t>
      </w:r>
      <w:r w:rsidR="00BA65DC" w:rsidRPr="00BA65DC">
        <w:rPr>
          <w:rFonts w:cs="Arial"/>
          <w:sz w:val="24"/>
          <w:szCs w:val="24"/>
        </w:rPr>
        <w:t xml:space="preserve"> Discussion – add an additional meeting around the budget deadline </w:t>
      </w:r>
      <w:r w:rsidR="00BA65DC">
        <w:rPr>
          <w:rFonts w:cs="Arial"/>
          <w:sz w:val="24"/>
          <w:szCs w:val="24"/>
        </w:rPr>
        <w:t xml:space="preserve">as a </w:t>
      </w:r>
      <w:r w:rsidR="006308F7">
        <w:rPr>
          <w:rFonts w:cs="Arial"/>
          <w:sz w:val="24"/>
          <w:szCs w:val="24"/>
        </w:rPr>
        <w:t>backup date</w:t>
      </w:r>
      <w:r w:rsidR="00BA65DC">
        <w:rPr>
          <w:rFonts w:cs="Arial"/>
          <w:sz w:val="24"/>
          <w:szCs w:val="24"/>
        </w:rPr>
        <w:t xml:space="preserve"> if needed. </w:t>
      </w:r>
    </w:p>
    <w:p w14:paraId="638E085A" w14:textId="77777777" w:rsidR="00BA65DC" w:rsidRDefault="00BA65DC" w:rsidP="00BA65DC">
      <w:pPr>
        <w:pStyle w:val="ListParagraph"/>
        <w:ind w:left="1440"/>
        <w:rPr>
          <w:rFonts w:cs="Arial"/>
          <w:sz w:val="24"/>
          <w:szCs w:val="24"/>
        </w:rPr>
      </w:pPr>
    </w:p>
    <w:p w14:paraId="6681FDA6" w14:textId="253871FF" w:rsidR="00BA65DC" w:rsidRPr="00BA65DC" w:rsidRDefault="00BA65DC" w:rsidP="00BA65DC">
      <w:pPr>
        <w:pStyle w:val="ListParagraph"/>
        <w:numPr>
          <w:ilvl w:val="1"/>
          <w:numId w:val="3"/>
        </w:numPr>
        <w:ind w:left="1350"/>
        <w:rPr>
          <w:rFonts w:cs="Arial"/>
          <w:sz w:val="24"/>
          <w:szCs w:val="24"/>
        </w:rPr>
      </w:pPr>
      <w:r w:rsidRPr="00BA65DC">
        <w:rPr>
          <w:rFonts w:cs="Arial"/>
          <w:b/>
          <w:sz w:val="24"/>
          <w:szCs w:val="24"/>
        </w:rPr>
        <w:t xml:space="preserve">Approval of </w:t>
      </w:r>
      <w:r w:rsidRPr="00BA65DC">
        <w:rPr>
          <w:rFonts w:cs="Arial"/>
          <w:b/>
          <w:sz w:val="24"/>
          <w:szCs w:val="24"/>
        </w:rPr>
        <w:t>Meeting dates</w:t>
      </w:r>
      <w:r w:rsidRPr="00BA65DC">
        <w:rPr>
          <w:rFonts w:cs="Arial"/>
          <w:b/>
          <w:sz w:val="24"/>
          <w:szCs w:val="24"/>
        </w:rPr>
        <w:t xml:space="preserve">: </w:t>
      </w:r>
      <w:r w:rsidRPr="00BA65DC">
        <w:rPr>
          <w:rFonts w:cs="Arial"/>
          <w:sz w:val="24"/>
          <w:szCs w:val="24"/>
        </w:rPr>
        <w:t xml:space="preserve">Motion made by: </w:t>
      </w:r>
      <w:r w:rsidRPr="00BA65DC">
        <w:rPr>
          <w:rFonts w:cs="Arial"/>
          <w:color w:val="0083A9" w:themeColor="accent1"/>
          <w:sz w:val="24"/>
          <w:szCs w:val="24"/>
        </w:rPr>
        <w:t>[Caroline Angelo]</w:t>
      </w:r>
      <w:r w:rsidRPr="00BA65DC">
        <w:rPr>
          <w:rFonts w:cs="Arial"/>
          <w:sz w:val="24"/>
          <w:szCs w:val="24"/>
        </w:rPr>
        <w:t xml:space="preserve">; Seconded by: </w:t>
      </w:r>
      <w:r w:rsidRPr="00BA65DC">
        <w:rPr>
          <w:rFonts w:cs="Arial"/>
          <w:color w:val="0083A9" w:themeColor="accent1"/>
          <w:sz w:val="24"/>
          <w:szCs w:val="24"/>
        </w:rPr>
        <w:t>[</w:t>
      </w:r>
      <w:r w:rsidRPr="00BA65DC">
        <w:rPr>
          <w:rFonts w:cs="Arial"/>
          <w:color w:val="0083A9" w:themeColor="accent1"/>
          <w:sz w:val="24"/>
          <w:szCs w:val="24"/>
        </w:rPr>
        <w:t>Patricia Horton</w:t>
      </w:r>
      <w:r w:rsidRPr="00BA65DC">
        <w:rPr>
          <w:rFonts w:cs="Arial"/>
          <w:color w:val="0083A9" w:themeColor="accent1"/>
          <w:sz w:val="24"/>
          <w:szCs w:val="24"/>
        </w:rPr>
        <w:t>]</w:t>
      </w:r>
    </w:p>
    <w:p w14:paraId="33779D02" w14:textId="77777777" w:rsidR="00BA65DC" w:rsidRPr="00BA65DC" w:rsidRDefault="00BA65DC" w:rsidP="00BA65DC">
      <w:pPr>
        <w:pStyle w:val="ListParagraph"/>
        <w:ind w:left="1440"/>
        <w:rPr>
          <w:rFonts w:cs="Arial"/>
          <w:sz w:val="24"/>
          <w:szCs w:val="24"/>
        </w:rPr>
      </w:pPr>
    </w:p>
    <w:p w14:paraId="6FFD8FB4" w14:textId="439DF6E5" w:rsidR="006B4DB0" w:rsidRPr="008C5487" w:rsidRDefault="006B4DB0" w:rsidP="006B4DB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>All</w:t>
      </w:r>
    </w:p>
    <w:p w14:paraId="6D7ED297" w14:textId="7FEDD135" w:rsidR="006B4DB0" w:rsidRPr="008C5487" w:rsidRDefault="006B4DB0" w:rsidP="006B4DB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>None</w:t>
      </w:r>
    </w:p>
    <w:p w14:paraId="3561E1C5" w14:textId="0BD4A01A" w:rsidR="006B4DB0" w:rsidRPr="008C5487" w:rsidRDefault="006B4DB0" w:rsidP="006B4DB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FD36F9">
        <w:rPr>
          <w:rFonts w:cs="Arial"/>
          <w:color w:val="0083A9" w:themeColor="accent1"/>
          <w:sz w:val="24"/>
          <w:szCs w:val="24"/>
        </w:rPr>
        <w:t xml:space="preserve"> </w:t>
      </w:r>
      <w:r w:rsidR="00BA65DC" w:rsidRPr="00FD36F9">
        <w:rPr>
          <w:rFonts w:cs="Arial"/>
          <w:color w:val="0083A9" w:themeColor="accent1"/>
          <w:sz w:val="24"/>
          <w:szCs w:val="24"/>
        </w:rPr>
        <w:t>None</w:t>
      </w:r>
    </w:p>
    <w:p w14:paraId="071F003C" w14:textId="5ED57D27" w:rsidR="006B4DB0" w:rsidRPr="00484306" w:rsidRDefault="006B4DB0" w:rsidP="006B4DB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52DA95A" w14:textId="77777777" w:rsidR="006B4DB0" w:rsidRPr="006B4DB0" w:rsidRDefault="006B4DB0" w:rsidP="006B4DB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4088073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89231A8" w:rsidR="00484306" w:rsidRPr="006308F7" w:rsidRDefault="006B4DB0" w:rsidP="006308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8C5487">
        <w:rPr>
          <w:rFonts w:cs="Arial"/>
          <w:sz w:val="24"/>
          <w:szCs w:val="24"/>
        </w:rPr>
        <w:t xml:space="preserve">: </w:t>
      </w:r>
      <w:r w:rsidR="00BA65DC">
        <w:rPr>
          <w:rFonts w:cs="Arial"/>
          <w:color w:val="0083A9" w:themeColor="accent1"/>
          <w:sz w:val="24"/>
          <w:szCs w:val="24"/>
        </w:rPr>
        <w:t>Video presenting highlighting partnership with Automotive program. Hertz Electrifies (Hertz/Uber partnership)</w:t>
      </w:r>
      <w:r w:rsidR="006308F7">
        <w:rPr>
          <w:rFonts w:cs="Arial"/>
          <w:color w:val="0083A9" w:themeColor="accent1"/>
          <w:sz w:val="24"/>
          <w:szCs w:val="24"/>
        </w:rPr>
        <w:t xml:space="preserve"> Partnership - 21</w:t>
      </w:r>
      <w:r w:rsidR="006308F7" w:rsidRPr="006308F7">
        <w:rPr>
          <w:rFonts w:cs="Arial"/>
          <w:color w:val="0083A9" w:themeColor="accent1"/>
          <w:sz w:val="24"/>
          <w:szCs w:val="24"/>
          <w:vertAlign w:val="superscript"/>
        </w:rPr>
        <w:t>st</w:t>
      </w:r>
      <w:r w:rsidR="006308F7">
        <w:rPr>
          <w:rFonts w:cs="Arial"/>
          <w:color w:val="0083A9" w:themeColor="accent1"/>
          <w:sz w:val="24"/>
          <w:szCs w:val="24"/>
        </w:rPr>
        <w:t xml:space="preserve"> Century Leaders – focus on financial literacy. Annual Career fair – over 25 metro Atlanta businesses and organizations.  </w:t>
      </w:r>
      <w:r w:rsidR="00BA65DC" w:rsidRPr="006308F7">
        <w:rPr>
          <w:rFonts w:cs="Arial"/>
          <w:color w:val="0083A9" w:themeColor="accent1"/>
          <w:sz w:val="24"/>
          <w:szCs w:val="24"/>
        </w:rPr>
        <w:t xml:space="preserve"> </w:t>
      </w:r>
    </w:p>
    <w:p w14:paraId="4B87D9F0" w14:textId="477F01B4" w:rsidR="006308F7" w:rsidRDefault="006308F7" w:rsidP="006308F7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6308F7">
        <w:rPr>
          <w:rFonts w:cs="Arial"/>
          <w:bCs/>
          <w:color w:val="0083A9" w:themeColor="accent1"/>
          <w:sz w:val="24"/>
          <w:szCs w:val="24"/>
        </w:rPr>
        <w:t>Data Review</w:t>
      </w:r>
      <w:r>
        <w:rPr>
          <w:rFonts w:cs="Arial"/>
          <w:bCs/>
          <w:color w:val="0083A9" w:themeColor="accent1"/>
          <w:sz w:val="24"/>
          <w:szCs w:val="24"/>
        </w:rPr>
        <w:t xml:space="preserve"> – Enrollment update, Completion Update, End of Pathway update, GA Best Employability skills update, </w:t>
      </w:r>
      <w:r w:rsidRPr="006308F7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6E7137F2" w14:textId="7E0AE483" w:rsidR="006308F7" w:rsidRDefault="006308F7" w:rsidP="006308F7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 xml:space="preserve">What’s Next (2023-2024) </w:t>
      </w:r>
    </w:p>
    <w:p w14:paraId="135DC7DF" w14:textId="202197C3" w:rsidR="006308F7" w:rsidRDefault="006308F7" w:rsidP="006308F7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 xml:space="preserve">Seeking staff members </w:t>
      </w:r>
    </w:p>
    <w:p w14:paraId="61CBE4E2" w14:textId="77777777" w:rsidR="006308F7" w:rsidRDefault="006308F7" w:rsidP="006308F7">
      <w:pPr>
        <w:pStyle w:val="ListParagraph"/>
        <w:numPr>
          <w:ilvl w:val="3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Carpentry Instructor</w:t>
      </w:r>
    </w:p>
    <w:p w14:paraId="43C7C48B" w14:textId="42315A10" w:rsidR="006308F7" w:rsidRPr="006308F7" w:rsidRDefault="006308F7" w:rsidP="006308F7">
      <w:pPr>
        <w:pStyle w:val="ListParagraph"/>
        <w:numPr>
          <w:ilvl w:val="3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LPN</w:t>
      </w:r>
    </w:p>
    <w:p w14:paraId="4F44E02A" w14:textId="41DDF844" w:rsidR="006308F7" w:rsidRDefault="006308F7" w:rsidP="006308F7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Applications</w:t>
      </w:r>
    </w:p>
    <w:p w14:paraId="7B8A28E8" w14:textId="3FC7017F" w:rsidR="006308F7" w:rsidRDefault="006308F7" w:rsidP="006308F7">
      <w:pPr>
        <w:pStyle w:val="ListParagraph"/>
        <w:numPr>
          <w:ilvl w:val="3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Adding additional school</w:t>
      </w:r>
    </w:p>
    <w:p w14:paraId="3C8BDE2B" w14:textId="57144D91" w:rsidR="006308F7" w:rsidRDefault="006308F7" w:rsidP="006308F7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 xml:space="preserve">Enrollment </w:t>
      </w:r>
    </w:p>
    <w:p w14:paraId="1BC6F648" w14:textId="54523E1A" w:rsidR="006308F7" w:rsidRPr="006308F7" w:rsidRDefault="006308F7" w:rsidP="006308F7">
      <w:pPr>
        <w:pStyle w:val="ListParagraph"/>
        <w:numPr>
          <w:ilvl w:val="3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 xml:space="preserve">600 students currently enrolled for next academic year </w:t>
      </w:r>
    </w:p>
    <w:p w14:paraId="52D0BCDE" w14:textId="6EECB0D4" w:rsidR="006308F7" w:rsidRPr="006308F7" w:rsidRDefault="006B4DB0" w:rsidP="006308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 - Chamber of Commerce Presentation</w:t>
      </w:r>
      <w:r w:rsidR="006308F7">
        <w:rPr>
          <w:rFonts w:cs="Arial"/>
          <w:b/>
          <w:sz w:val="24"/>
          <w:szCs w:val="24"/>
        </w:rPr>
        <w:t xml:space="preserve"> </w:t>
      </w:r>
      <w:r w:rsidR="006308F7" w:rsidRPr="006308F7">
        <w:rPr>
          <w:rFonts w:cs="Arial"/>
          <w:bCs/>
          <w:color w:val="0083A9" w:themeColor="accent1"/>
          <w:sz w:val="24"/>
          <w:szCs w:val="24"/>
        </w:rPr>
        <w:t xml:space="preserve">– </w:t>
      </w:r>
      <w:r w:rsidR="006308F7">
        <w:rPr>
          <w:rFonts w:cs="Arial"/>
          <w:bCs/>
          <w:color w:val="0083A9" w:themeColor="accent1"/>
          <w:sz w:val="24"/>
          <w:szCs w:val="24"/>
        </w:rPr>
        <w:t>Snapshot of the “</w:t>
      </w:r>
      <w:r w:rsidR="006308F7" w:rsidRPr="006308F7">
        <w:rPr>
          <w:rFonts w:cs="Arial"/>
          <w:bCs/>
          <w:color w:val="0083A9" w:themeColor="accent1"/>
          <w:sz w:val="24"/>
          <w:szCs w:val="24"/>
        </w:rPr>
        <w:t xml:space="preserve">Talent </w:t>
      </w:r>
      <w:r w:rsidR="006308F7">
        <w:rPr>
          <w:rFonts w:cs="Arial"/>
          <w:bCs/>
          <w:color w:val="0083A9" w:themeColor="accent1"/>
          <w:sz w:val="24"/>
          <w:szCs w:val="24"/>
        </w:rPr>
        <w:t xml:space="preserve">Supply Report 2023” - Data collected over past few years. Data will be used to drive decisions and support efforts moving forward. Data reflected job growth in Georgia and Metro Atlanta area. </w:t>
      </w:r>
      <w:r w:rsidR="00FD36F9">
        <w:rPr>
          <w:rFonts w:cs="Arial"/>
          <w:bCs/>
          <w:color w:val="0083A9" w:themeColor="accent1"/>
          <w:sz w:val="24"/>
          <w:szCs w:val="24"/>
        </w:rPr>
        <w:t xml:space="preserve">Top occupations and sills requested; degrees conferred in the state of Georgia. Review of the gap between supply and demand in education and workforce needs.  </w:t>
      </w:r>
    </w:p>
    <w:p w14:paraId="7D87096B" w14:textId="3CD72F25" w:rsidR="002E661E" w:rsidRPr="00F435AB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FD36F9">
        <w:rPr>
          <w:rFonts w:cs="Arial"/>
          <w:color w:val="0083A9" w:themeColor="accent1"/>
          <w:sz w:val="24"/>
          <w:szCs w:val="24"/>
        </w:rPr>
        <w:t>None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6E1B55C0" w14:textId="2679039E" w:rsidR="00F435AB" w:rsidRPr="002E661E" w:rsidRDefault="00F435AB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FD36F9" w:rsidRPr="008C5487">
        <w:rPr>
          <w:rFonts w:cs="Arial"/>
          <w:color w:val="0083A9" w:themeColor="accent1"/>
          <w:sz w:val="24"/>
          <w:szCs w:val="24"/>
        </w:rPr>
        <w:t>[</w:t>
      </w:r>
      <w:r w:rsidR="00FD36F9">
        <w:rPr>
          <w:rFonts w:cs="Arial"/>
          <w:color w:val="0083A9" w:themeColor="accent1"/>
          <w:sz w:val="24"/>
          <w:szCs w:val="24"/>
        </w:rPr>
        <w:t>None</w:t>
      </w:r>
      <w:r w:rsidR="00FD36F9"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49276C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D36F9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D36F9">
        <w:rPr>
          <w:rFonts w:cs="Arial"/>
          <w:color w:val="0083A9" w:themeColor="accent1"/>
          <w:sz w:val="24"/>
          <w:szCs w:val="24"/>
        </w:rPr>
        <w:t>Patricia Horton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0A912A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D36F9" w:rsidRPr="00FD36F9">
        <w:rPr>
          <w:rFonts w:cs="Arial"/>
          <w:color w:val="0083A9" w:themeColor="accent1"/>
          <w:sz w:val="24"/>
          <w:szCs w:val="24"/>
        </w:rPr>
        <w:t>All</w:t>
      </w:r>
    </w:p>
    <w:p w14:paraId="5AE22E38" w14:textId="64E2DD3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D36F9" w:rsidRPr="00FD36F9">
        <w:rPr>
          <w:rFonts w:cs="Arial"/>
          <w:color w:val="0083A9" w:themeColor="accent1"/>
          <w:sz w:val="24"/>
          <w:szCs w:val="24"/>
        </w:rPr>
        <w:t>None</w:t>
      </w:r>
    </w:p>
    <w:p w14:paraId="321400D9" w14:textId="1695685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D36F9" w:rsidRPr="00FD36F9">
        <w:rPr>
          <w:rFonts w:cs="Arial"/>
          <w:color w:val="0083A9" w:themeColor="accent1"/>
          <w:sz w:val="24"/>
          <w:szCs w:val="24"/>
        </w:rPr>
        <w:t>None</w:t>
      </w:r>
    </w:p>
    <w:p w14:paraId="437599F6" w14:textId="5758570F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B73AACA" w14:textId="23F0557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FD36F9">
        <w:rPr>
          <w:rFonts w:cs="Arial"/>
          <w:color w:val="0083A9" w:themeColor="accent1"/>
          <w:sz w:val="24"/>
          <w:szCs w:val="24"/>
        </w:rPr>
        <w:t>4:43pm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DD6B08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435AB">
        <w:rPr>
          <w:rFonts w:cs="Arial"/>
          <w:color w:val="0083A9" w:themeColor="accent1"/>
          <w:sz w:val="24"/>
          <w:szCs w:val="24"/>
        </w:rPr>
        <w:t>Niya Eady</w:t>
      </w:r>
    </w:p>
    <w:p w14:paraId="35316D67" w14:textId="5D9DB15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435AB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F52B8" w14:textId="77777777" w:rsidR="007268AD" w:rsidRDefault="007268AD" w:rsidP="00333C97">
      <w:pPr>
        <w:spacing w:after="0" w:line="240" w:lineRule="auto"/>
      </w:pPr>
      <w:r>
        <w:separator/>
      </w:r>
    </w:p>
  </w:endnote>
  <w:endnote w:type="continuationSeparator" w:id="0">
    <w:p w14:paraId="34195C93" w14:textId="77777777" w:rsidR="007268AD" w:rsidRDefault="007268A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DA8804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913B3">
      <w:rPr>
        <w:noProof/>
        <w:sz w:val="18"/>
        <w:szCs w:val="18"/>
      </w:rPr>
      <w:t>5/18/2023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FAF56" w14:textId="77777777" w:rsidR="007268AD" w:rsidRDefault="007268AD" w:rsidP="00333C97">
      <w:pPr>
        <w:spacing w:after="0" w:line="240" w:lineRule="auto"/>
      </w:pPr>
      <w:r>
        <w:separator/>
      </w:r>
    </w:p>
  </w:footnote>
  <w:footnote w:type="continuationSeparator" w:id="0">
    <w:p w14:paraId="1A0D70F2" w14:textId="77777777" w:rsidR="007268AD" w:rsidRDefault="007268A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74865" w14:textId="0FA31468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47D8913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72FED"/>
    <w:rsid w:val="00190863"/>
    <w:rsid w:val="001D57C3"/>
    <w:rsid w:val="0024684D"/>
    <w:rsid w:val="002E661E"/>
    <w:rsid w:val="002F7B20"/>
    <w:rsid w:val="00307E8F"/>
    <w:rsid w:val="00333C97"/>
    <w:rsid w:val="00371558"/>
    <w:rsid w:val="00397668"/>
    <w:rsid w:val="004735FC"/>
    <w:rsid w:val="00480E5E"/>
    <w:rsid w:val="00484306"/>
    <w:rsid w:val="004C7B2B"/>
    <w:rsid w:val="004E7CC2"/>
    <w:rsid w:val="004F19E6"/>
    <w:rsid w:val="00563E50"/>
    <w:rsid w:val="005913B3"/>
    <w:rsid w:val="005A59D7"/>
    <w:rsid w:val="005C0549"/>
    <w:rsid w:val="005E190C"/>
    <w:rsid w:val="005E7AC0"/>
    <w:rsid w:val="00611CEC"/>
    <w:rsid w:val="006308F7"/>
    <w:rsid w:val="006B4DB0"/>
    <w:rsid w:val="006E7802"/>
    <w:rsid w:val="00721E86"/>
    <w:rsid w:val="007268AD"/>
    <w:rsid w:val="00753BFE"/>
    <w:rsid w:val="008C031A"/>
    <w:rsid w:val="008C5487"/>
    <w:rsid w:val="008F5317"/>
    <w:rsid w:val="008F59A2"/>
    <w:rsid w:val="009413D8"/>
    <w:rsid w:val="00951DC1"/>
    <w:rsid w:val="00951E4D"/>
    <w:rsid w:val="009A3327"/>
    <w:rsid w:val="00A47D9D"/>
    <w:rsid w:val="00A85B26"/>
    <w:rsid w:val="00AE290D"/>
    <w:rsid w:val="00B4244D"/>
    <w:rsid w:val="00B42F63"/>
    <w:rsid w:val="00BA65DC"/>
    <w:rsid w:val="00C25B0C"/>
    <w:rsid w:val="00CC08A3"/>
    <w:rsid w:val="00CF28C4"/>
    <w:rsid w:val="00D83D12"/>
    <w:rsid w:val="00E033E6"/>
    <w:rsid w:val="00E175EB"/>
    <w:rsid w:val="00E55A0A"/>
    <w:rsid w:val="00F371DD"/>
    <w:rsid w:val="00F435AB"/>
    <w:rsid w:val="00F533E4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Eady, Niya</cp:lastModifiedBy>
  <cp:revision>2</cp:revision>
  <dcterms:created xsi:type="dcterms:W3CDTF">2023-05-18T20:53:00Z</dcterms:created>
  <dcterms:modified xsi:type="dcterms:W3CDTF">2023-05-18T20:53:00Z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